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46" w:rsidRPr="005D6E7E" w:rsidRDefault="00335146" w:rsidP="007A0873">
      <w:pPr>
        <w:spacing w:after="0"/>
        <w:jc w:val="center"/>
        <w:rPr>
          <w:rFonts w:ascii="Arial" w:hAnsi="Arial" w:cs="Arial"/>
          <w:b/>
          <w:sz w:val="28"/>
          <w:u w:val="single"/>
        </w:rPr>
      </w:pPr>
      <w:r w:rsidRPr="005D6E7E">
        <w:rPr>
          <w:rFonts w:ascii="Arial" w:hAnsi="Arial" w:cs="Arial"/>
          <w:b/>
          <w:sz w:val="28"/>
          <w:u w:val="single"/>
        </w:rPr>
        <w:t>Α</w:t>
      </w:r>
      <w:r w:rsidR="00483F38" w:rsidRPr="005D6E7E">
        <w:rPr>
          <w:rFonts w:ascii="Arial" w:hAnsi="Arial" w:cs="Arial"/>
          <w:b/>
          <w:sz w:val="28"/>
          <w:u w:val="single"/>
        </w:rPr>
        <w:t xml:space="preserve"> </w:t>
      </w:r>
      <w:r w:rsidRPr="005D6E7E">
        <w:rPr>
          <w:rFonts w:ascii="Arial" w:hAnsi="Arial" w:cs="Arial"/>
          <w:b/>
          <w:sz w:val="28"/>
          <w:u w:val="single"/>
        </w:rPr>
        <w:t>Ν</w:t>
      </w:r>
      <w:r w:rsidR="00483F38" w:rsidRPr="005D6E7E">
        <w:rPr>
          <w:rFonts w:ascii="Arial" w:hAnsi="Arial" w:cs="Arial"/>
          <w:b/>
          <w:sz w:val="28"/>
          <w:u w:val="single"/>
        </w:rPr>
        <w:t xml:space="preserve"> </w:t>
      </w:r>
      <w:r w:rsidRPr="005D6E7E">
        <w:rPr>
          <w:rFonts w:ascii="Arial" w:hAnsi="Arial" w:cs="Arial"/>
          <w:b/>
          <w:sz w:val="28"/>
          <w:u w:val="single"/>
        </w:rPr>
        <w:t>Α</w:t>
      </w:r>
      <w:r w:rsidR="00483F38" w:rsidRPr="005D6E7E">
        <w:rPr>
          <w:rFonts w:ascii="Arial" w:hAnsi="Arial" w:cs="Arial"/>
          <w:b/>
          <w:sz w:val="28"/>
          <w:u w:val="single"/>
        </w:rPr>
        <w:t xml:space="preserve"> </w:t>
      </w:r>
      <w:r w:rsidRPr="005D6E7E">
        <w:rPr>
          <w:rFonts w:ascii="Arial" w:hAnsi="Arial" w:cs="Arial"/>
          <w:b/>
          <w:sz w:val="28"/>
          <w:u w:val="single"/>
        </w:rPr>
        <w:t>Κ</w:t>
      </w:r>
      <w:r w:rsidR="00483F38" w:rsidRPr="005D6E7E">
        <w:rPr>
          <w:rFonts w:ascii="Arial" w:hAnsi="Arial" w:cs="Arial"/>
          <w:b/>
          <w:sz w:val="28"/>
          <w:u w:val="single"/>
        </w:rPr>
        <w:t xml:space="preserve"> </w:t>
      </w:r>
      <w:r w:rsidRPr="005D6E7E">
        <w:rPr>
          <w:rFonts w:ascii="Arial" w:hAnsi="Arial" w:cs="Arial"/>
          <w:b/>
          <w:sz w:val="28"/>
          <w:u w:val="single"/>
        </w:rPr>
        <w:t>Ο</w:t>
      </w:r>
      <w:r w:rsidR="00483F38" w:rsidRPr="005D6E7E">
        <w:rPr>
          <w:rFonts w:ascii="Arial" w:hAnsi="Arial" w:cs="Arial"/>
          <w:b/>
          <w:sz w:val="28"/>
          <w:u w:val="single"/>
        </w:rPr>
        <w:t xml:space="preserve"> </w:t>
      </w:r>
      <w:r w:rsidRPr="005D6E7E">
        <w:rPr>
          <w:rFonts w:ascii="Arial" w:hAnsi="Arial" w:cs="Arial"/>
          <w:b/>
          <w:sz w:val="28"/>
          <w:u w:val="single"/>
        </w:rPr>
        <w:t>Ι</w:t>
      </w:r>
      <w:r w:rsidR="00483F38" w:rsidRPr="005D6E7E">
        <w:rPr>
          <w:rFonts w:ascii="Arial" w:hAnsi="Arial" w:cs="Arial"/>
          <w:b/>
          <w:sz w:val="28"/>
          <w:u w:val="single"/>
        </w:rPr>
        <w:t xml:space="preserve"> </w:t>
      </w:r>
      <w:r w:rsidRPr="005D6E7E">
        <w:rPr>
          <w:rFonts w:ascii="Arial" w:hAnsi="Arial" w:cs="Arial"/>
          <w:b/>
          <w:sz w:val="28"/>
          <w:u w:val="single"/>
        </w:rPr>
        <w:t>Ν</w:t>
      </w:r>
      <w:r w:rsidR="00483F38" w:rsidRPr="005D6E7E">
        <w:rPr>
          <w:rFonts w:ascii="Arial" w:hAnsi="Arial" w:cs="Arial"/>
          <w:b/>
          <w:sz w:val="28"/>
          <w:u w:val="single"/>
        </w:rPr>
        <w:t xml:space="preserve"> </w:t>
      </w:r>
      <w:r w:rsidRPr="005D6E7E">
        <w:rPr>
          <w:rFonts w:ascii="Arial" w:hAnsi="Arial" w:cs="Arial"/>
          <w:b/>
          <w:sz w:val="28"/>
          <w:u w:val="single"/>
        </w:rPr>
        <w:t>Ω</w:t>
      </w:r>
      <w:r w:rsidR="00483F38" w:rsidRPr="005D6E7E">
        <w:rPr>
          <w:rFonts w:ascii="Arial" w:hAnsi="Arial" w:cs="Arial"/>
          <w:b/>
          <w:sz w:val="28"/>
          <w:u w:val="single"/>
        </w:rPr>
        <w:t xml:space="preserve"> </w:t>
      </w:r>
      <w:r w:rsidRPr="005D6E7E">
        <w:rPr>
          <w:rFonts w:ascii="Arial" w:hAnsi="Arial" w:cs="Arial"/>
          <w:b/>
          <w:sz w:val="28"/>
          <w:u w:val="single"/>
        </w:rPr>
        <w:t>Σ</w:t>
      </w:r>
      <w:r w:rsidR="00483F38" w:rsidRPr="005D6E7E">
        <w:rPr>
          <w:rFonts w:ascii="Arial" w:hAnsi="Arial" w:cs="Arial"/>
          <w:b/>
          <w:sz w:val="28"/>
          <w:u w:val="single"/>
        </w:rPr>
        <w:t xml:space="preserve"> </w:t>
      </w:r>
      <w:r w:rsidRPr="005D6E7E">
        <w:rPr>
          <w:rFonts w:ascii="Arial" w:hAnsi="Arial" w:cs="Arial"/>
          <w:b/>
          <w:sz w:val="28"/>
          <w:u w:val="single"/>
        </w:rPr>
        <w:t>Η</w:t>
      </w:r>
    </w:p>
    <w:p w:rsidR="00AA5FD8" w:rsidRPr="005D6E7E" w:rsidRDefault="00B839EC" w:rsidP="0036069E">
      <w:pPr>
        <w:spacing w:after="0"/>
        <w:jc w:val="center"/>
        <w:rPr>
          <w:rFonts w:ascii="Arial" w:hAnsi="Arial" w:cs="Arial"/>
          <w:b/>
          <w:sz w:val="24"/>
          <w:u w:val="single"/>
        </w:rPr>
      </w:pPr>
      <w:r w:rsidRPr="005D6E7E">
        <w:rPr>
          <w:rFonts w:ascii="Arial" w:hAnsi="Arial" w:cs="Arial"/>
          <w:b/>
          <w:sz w:val="24"/>
          <w:u w:val="single"/>
        </w:rPr>
        <w:t>ΥΠΟΥΡΓΕΙΟ ΕΡΓΑΣΙΑΣ, ΠΡΟΝΟΙΑΣ ΚΑΙ ΚΟΙΝΩΝΙΚΩΝ ΑΣΦΑΛΙΣΕΩΝ</w:t>
      </w:r>
    </w:p>
    <w:p w:rsidR="007A0873" w:rsidRPr="005D6E7E" w:rsidRDefault="007A0873" w:rsidP="0036069E">
      <w:pPr>
        <w:spacing w:after="0"/>
        <w:jc w:val="center"/>
        <w:rPr>
          <w:rFonts w:ascii="Arial" w:hAnsi="Arial" w:cs="Arial"/>
          <w:b/>
          <w:sz w:val="24"/>
          <w:u w:val="single"/>
        </w:rPr>
      </w:pPr>
    </w:p>
    <w:p w:rsidR="00E44E53" w:rsidRPr="00674F66" w:rsidRDefault="00E44E53" w:rsidP="00E44E53">
      <w:pPr>
        <w:jc w:val="center"/>
        <w:rPr>
          <w:rFonts w:ascii="Arial" w:hAnsi="Arial" w:cs="Arial"/>
          <w:b/>
          <w:u w:val="single"/>
        </w:rPr>
      </w:pPr>
    </w:p>
    <w:p w:rsidR="00E44E53" w:rsidRPr="00E44E53" w:rsidRDefault="00E44E53" w:rsidP="00E44E53">
      <w:pPr>
        <w:spacing w:after="0"/>
        <w:jc w:val="center"/>
        <w:rPr>
          <w:rFonts w:ascii="Arial" w:hAnsi="Arial" w:cs="Arial"/>
          <w:b/>
          <w:sz w:val="26"/>
          <w:u w:val="single"/>
        </w:rPr>
      </w:pPr>
      <w:r w:rsidRPr="00E44E53">
        <w:rPr>
          <w:rFonts w:ascii="Arial" w:hAnsi="Arial" w:cs="Arial"/>
          <w:b/>
          <w:sz w:val="26"/>
          <w:u w:val="single"/>
        </w:rPr>
        <w:t>Επίσημα Στοιχεία</w:t>
      </w:r>
      <w:r w:rsidRPr="00E44E53">
        <w:rPr>
          <w:rStyle w:val="FootnoteReference"/>
          <w:rFonts w:ascii="Arial" w:hAnsi="Arial" w:cs="Arial"/>
          <w:b/>
          <w:sz w:val="26"/>
          <w:u w:val="single"/>
        </w:rPr>
        <w:footnoteReference w:id="1"/>
      </w:r>
      <w:r w:rsidRPr="00E44E53">
        <w:rPr>
          <w:rFonts w:ascii="Arial" w:hAnsi="Arial" w:cs="Arial"/>
          <w:b/>
          <w:sz w:val="26"/>
          <w:u w:val="single"/>
        </w:rPr>
        <w:t xml:space="preserve"> για τη Μετανάστευση Κυπρίων </w:t>
      </w:r>
    </w:p>
    <w:p w:rsidR="00E44E53" w:rsidRPr="00E44E53" w:rsidRDefault="00E44E53" w:rsidP="00E44E53">
      <w:pPr>
        <w:jc w:val="center"/>
        <w:rPr>
          <w:rFonts w:ascii="Arial" w:hAnsi="Arial" w:cs="Arial"/>
          <w:b/>
          <w:sz w:val="26"/>
          <w:u w:val="single"/>
        </w:rPr>
      </w:pPr>
      <w:r w:rsidRPr="00E44E53">
        <w:rPr>
          <w:rFonts w:ascii="Arial" w:hAnsi="Arial" w:cs="Arial"/>
          <w:b/>
          <w:sz w:val="26"/>
          <w:u w:val="single"/>
        </w:rPr>
        <w:t>από και προς την Κύπρο 2013-2016</w:t>
      </w:r>
    </w:p>
    <w:p w:rsidR="00E44E53" w:rsidRPr="00DA0F37" w:rsidRDefault="00E44E53" w:rsidP="00E44E53">
      <w:pPr>
        <w:jc w:val="both"/>
        <w:rPr>
          <w:rFonts w:ascii="Arial" w:hAnsi="Arial" w:cs="Arial"/>
        </w:rPr>
      </w:pPr>
    </w:p>
    <w:p w:rsidR="00E44E53" w:rsidRPr="00DA0F37" w:rsidRDefault="00E44E53" w:rsidP="00E44E53">
      <w:pPr>
        <w:jc w:val="both"/>
        <w:rPr>
          <w:rFonts w:ascii="Arial" w:hAnsi="Arial" w:cs="Arial"/>
        </w:rPr>
      </w:pPr>
      <w:r>
        <w:rPr>
          <w:rFonts w:ascii="Arial" w:hAnsi="Arial" w:cs="Arial"/>
        </w:rPr>
        <w:t>Λόγω του ότι</w:t>
      </w:r>
      <w:r w:rsidRPr="00DA0F37">
        <w:rPr>
          <w:rFonts w:ascii="Arial" w:hAnsi="Arial" w:cs="Arial"/>
        </w:rPr>
        <w:t xml:space="preserve"> προβάλλεται συχνά το </w:t>
      </w:r>
      <w:r w:rsidRPr="00DA0F37">
        <w:rPr>
          <w:rFonts w:ascii="Arial" w:hAnsi="Arial" w:cs="Arial"/>
          <w:b/>
        </w:rPr>
        <w:t xml:space="preserve">απόλυτα </w:t>
      </w:r>
      <w:r>
        <w:rPr>
          <w:rFonts w:ascii="Arial" w:hAnsi="Arial" w:cs="Arial"/>
          <w:b/>
        </w:rPr>
        <w:t xml:space="preserve">λανθασμένο </w:t>
      </w:r>
      <w:r w:rsidRPr="00DA0F37">
        <w:rPr>
          <w:rFonts w:ascii="Arial" w:hAnsi="Arial" w:cs="Arial"/>
          <w:b/>
        </w:rPr>
        <w:t>επιχείρημα</w:t>
      </w:r>
      <w:r w:rsidRPr="00DA0F37">
        <w:rPr>
          <w:rFonts w:ascii="Arial" w:hAnsi="Arial" w:cs="Arial"/>
        </w:rPr>
        <w:t xml:space="preserve">, ότι η ανεργία μειώθηκε λόγω μετανάστευσης </w:t>
      </w:r>
      <w:r>
        <w:rPr>
          <w:rFonts w:ascii="Arial" w:hAnsi="Arial" w:cs="Arial"/>
        </w:rPr>
        <w:t>Κ</w:t>
      </w:r>
      <w:r w:rsidRPr="00DA0F37">
        <w:rPr>
          <w:rFonts w:ascii="Arial" w:hAnsi="Arial" w:cs="Arial"/>
        </w:rPr>
        <w:t>υπρίων, παρατίθενται το επίσημα στοιχεία της Στατιστικής</w:t>
      </w:r>
      <w:r>
        <w:rPr>
          <w:rFonts w:ascii="Arial" w:hAnsi="Arial" w:cs="Arial"/>
        </w:rPr>
        <w:t xml:space="preserve"> Υπηρεσίας αναφορικά με το θέμα, τα οποία αποδεικνύουν ότι οποιαδήποτε επιχειρήματα προβάλλονται, δεν ανταποκρίνονται στην πραγματικότητα:</w:t>
      </w:r>
    </w:p>
    <w:tbl>
      <w:tblPr>
        <w:tblW w:w="8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1"/>
        <w:gridCol w:w="1063"/>
        <w:gridCol w:w="1063"/>
        <w:gridCol w:w="1063"/>
        <w:gridCol w:w="1064"/>
      </w:tblGrid>
      <w:tr w:rsidR="00E44E53" w:rsidRPr="00E73576" w:rsidTr="00972080">
        <w:tc>
          <w:tcPr>
            <w:tcW w:w="8364" w:type="dxa"/>
            <w:gridSpan w:val="5"/>
            <w:tcBorders>
              <w:top w:val="nil"/>
              <w:left w:val="nil"/>
              <w:bottom w:val="single" w:sz="4" w:space="0" w:color="auto"/>
              <w:right w:val="nil"/>
            </w:tcBorders>
            <w:vAlign w:val="bottom"/>
            <w:hideMark/>
          </w:tcPr>
          <w:p w:rsidR="00E44E53" w:rsidRPr="00DA0F37" w:rsidRDefault="00E44E53" w:rsidP="00674F66">
            <w:pPr>
              <w:spacing w:after="0"/>
              <w:rPr>
                <w:rFonts w:ascii="Arial" w:hAnsi="Arial" w:cs="Arial"/>
                <w:b/>
                <w:u w:val="single"/>
              </w:rPr>
            </w:pPr>
            <w:r>
              <w:rPr>
                <w:rFonts w:ascii="Arial" w:hAnsi="Arial" w:cs="Arial"/>
                <w:b/>
                <w:u w:val="single"/>
              </w:rPr>
              <w:t>Μετανάστευση Κυπρίων Πο</w:t>
            </w:r>
            <w:bookmarkStart w:id="0" w:name="_GoBack"/>
            <w:bookmarkEnd w:id="0"/>
            <w:r>
              <w:rPr>
                <w:rFonts w:ascii="Arial" w:hAnsi="Arial" w:cs="Arial"/>
                <w:b/>
                <w:u w:val="single"/>
              </w:rPr>
              <w:t>λιτών</w:t>
            </w:r>
            <w:r w:rsidRPr="00DA0F37">
              <w:rPr>
                <w:rFonts w:ascii="Arial" w:hAnsi="Arial" w:cs="Arial"/>
                <w:b/>
                <w:u w:val="single"/>
              </w:rPr>
              <w:t xml:space="preserve"> </w:t>
            </w:r>
            <w:r>
              <w:rPr>
                <w:rFonts w:ascii="Arial" w:hAnsi="Arial" w:cs="Arial"/>
                <w:b/>
                <w:u w:val="single"/>
              </w:rPr>
              <w:t xml:space="preserve">Από και Προς την Κύπρο, </w:t>
            </w:r>
            <w:r w:rsidRPr="00DA0F37">
              <w:rPr>
                <w:rFonts w:ascii="Arial" w:hAnsi="Arial" w:cs="Arial"/>
                <w:b/>
                <w:u w:val="single"/>
              </w:rPr>
              <w:t>201</w:t>
            </w:r>
            <w:r>
              <w:rPr>
                <w:rFonts w:ascii="Arial" w:hAnsi="Arial" w:cs="Arial"/>
                <w:b/>
                <w:u w:val="single"/>
              </w:rPr>
              <w:t>3</w:t>
            </w:r>
            <w:r w:rsidRPr="00DA0F37">
              <w:rPr>
                <w:rFonts w:ascii="Arial" w:hAnsi="Arial" w:cs="Arial"/>
                <w:b/>
                <w:u w:val="single"/>
              </w:rPr>
              <w:t>-201</w:t>
            </w:r>
            <w:r>
              <w:rPr>
                <w:rFonts w:ascii="Arial" w:hAnsi="Arial" w:cs="Arial"/>
                <w:b/>
                <w:u w:val="single"/>
              </w:rPr>
              <w:t>6:</w:t>
            </w:r>
          </w:p>
        </w:tc>
      </w:tr>
      <w:tr w:rsidR="00E44E53" w:rsidRPr="00DA0F37" w:rsidTr="00972080">
        <w:trPr>
          <w:trHeight w:val="628"/>
        </w:trPr>
        <w:tc>
          <w:tcPr>
            <w:tcW w:w="41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44E53" w:rsidRPr="00A443EC" w:rsidRDefault="00E44E53" w:rsidP="00972080">
            <w:pPr>
              <w:rPr>
                <w:rFonts w:ascii="Arial" w:hAnsi="Arial" w:cs="Arial"/>
                <w:b/>
                <w:u w:val="single"/>
              </w:rPr>
            </w:pPr>
            <w:r>
              <w:rPr>
                <w:rFonts w:ascii="Arial" w:hAnsi="Arial" w:cs="Arial"/>
                <w:b/>
                <w:u w:val="single"/>
              </w:rPr>
              <w:t>Κύπριοι Πολίτες:</w:t>
            </w:r>
          </w:p>
        </w:tc>
        <w:tc>
          <w:tcPr>
            <w:tcW w:w="10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44E53" w:rsidRPr="00DA0F37" w:rsidRDefault="00E44E53" w:rsidP="00972080">
            <w:pPr>
              <w:jc w:val="center"/>
              <w:rPr>
                <w:rFonts w:ascii="Arial" w:hAnsi="Arial" w:cs="Arial"/>
                <w:b/>
                <w:u w:val="single"/>
              </w:rPr>
            </w:pPr>
            <w:r w:rsidRPr="00DA0F37">
              <w:rPr>
                <w:rFonts w:ascii="Arial" w:hAnsi="Arial" w:cs="Arial"/>
                <w:b/>
                <w:u w:val="single"/>
              </w:rPr>
              <w:t>2013</w:t>
            </w:r>
          </w:p>
        </w:tc>
        <w:tc>
          <w:tcPr>
            <w:tcW w:w="10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44E53" w:rsidRPr="00DA0F37" w:rsidRDefault="00E44E53" w:rsidP="00972080">
            <w:pPr>
              <w:jc w:val="center"/>
              <w:rPr>
                <w:rFonts w:ascii="Arial" w:hAnsi="Arial" w:cs="Arial"/>
                <w:b/>
                <w:u w:val="single"/>
              </w:rPr>
            </w:pPr>
            <w:r w:rsidRPr="00DA0F37">
              <w:rPr>
                <w:rFonts w:ascii="Arial" w:hAnsi="Arial" w:cs="Arial"/>
                <w:b/>
                <w:u w:val="single"/>
              </w:rPr>
              <w:t>2014</w:t>
            </w:r>
          </w:p>
        </w:tc>
        <w:tc>
          <w:tcPr>
            <w:tcW w:w="10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44E53" w:rsidRPr="00DA0F37" w:rsidRDefault="00E44E53" w:rsidP="00972080">
            <w:pPr>
              <w:jc w:val="center"/>
              <w:rPr>
                <w:rFonts w:ascii="Arial" w:hAnsi="Arial" w:cs="Arial"/>
                <w:b/>
                <w:u w:val="single"/>
              </w:rPr>
            </w:pPr>
            <w:r w:rsidRPr="00DA0F37">
              <w:rPr>
                <w:rFonts w:ascii="Arial" w:hAnsi="Arial" w:cs="Arial"/>
                <w:b/>
                <w:u w:val="single"/>
              </w:rPr>
              <w:t>2015</w:t>
            </w:r>
          </w:p>
        </w:tc>
        <w:tc>
          <w:tcPr>
            <w:tcW w:w="106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44E53" w:rsidRPr="00DA0F37" w:rsidRDefault="00E44E53" w:rsidP="00972080">
            <w:pPr>
              <w:jc w:val="center"/>
              <w:rPr>
                <w:rFonts w:ascii="Arial" w:hAnsi="Arial" w:cs="Arial"/>
                <w:b/>
                <w:u w:val="single"/>
              </w:rPr>
            </w:pPr>
            <w:r>
              <w:rPr>
                <w:rFonts w:ascii="Arial" w:hAnsi="Arial" w:cs="Arial"/>
                <w:b/>
                <w:u w:val="single"/>
              </w:rPr>
              <w:t>2016</w:t>
            </w:r>
          </w:p>
        </w:tc>
      </w:tr>
      <w:tr w:rsidR="00E44E53" w:rsidRPr="00674F66" w:rsidTr="00674F66">
        <w:trPr>
          <w:trHeight w:val="680"/>
        </w:trPr>
        <w:tc>
          <w:tcPr>
            <w:tcW w:w="4111"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Κύπριοι Μετανάστες από άλλες χώρες προς την Κύπρο:</w:t>
            </w:r>
          </w:p>
        </w:tc>
        <w:tc>
          <w:tcPr>
            <w:tcW w:w="1063"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1.534</w:t>
            </w:r>
          </w:p>
        </w:tc>
        <w:tc>
          <w:tcPr>
            <w:tcW w:w="1063"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1.401</w:t>
            </w:r>
          </w:p>
        </w:tc>
        <w:tc>
          <w:tcPr>
            <w:tcW w:w="1063"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3.157</w:t>
            </w:r>
          </w:p>
        </w:tc>
        <w:tc>
          <w:tcPr>
            <w:tcW w:w="1064"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3.557</w:t>
            </w:r>
          </w:p>
        </w:tc>
      </w:tr>
      <w:tr w:rsidR="00E44E53" w:rsidRPr="00674F66" w:rsidTr="00674F66">
        <w:trPr>
          <w:trHeight w:val="680"/>
        </w:trPr>
        <w:tc>
          <w:tcPr>
            <w:tcW w:w="4111" w:type="dxa"/>
            <w:tcBorders>
              <w:top w:val="single" w:sz="4" w:space="0" w:color="auto"/>
              <w:left w:val="single" w:sz="4" w:space="0" w:color="auto"/>
              <w:bottom w:val="single" w:sz="4" w:space="0" w:color="auto"/>
              <w:right w:val="single" w:sz="4" w:space="0" w:color="auto"/>
            </w:tcBorders>
            <w:vAlign w:val="center"/>
            <w:hideMark/>
          </w:tcPr>
          <w:p w:rsidR="00E44E53" w:rsidRPr="00674F66" w:rsidRDefault="00E44E53" w:rsidP="00674F66">
            <w:pPr>
              <w:spacing w:after="0"/>
              <w:jc w:val="center"/>
              <w:rPr>
                <w:rFonts w:ascii="Arial" w:hAnsi="Arial" w:cs="Arial"/>
              </w:rPr>
            </w:pPr>
            <w:r w:rsidRPr="00674F66">
              <w:rPr>
                <w:rFonts w:ascii="Arial" w:hAnsi="Arial" w:cs="Arial"/>
              </w:rPr>
              <w:t>Κύπριοι Μετανάστες από την Κύπρο προς άλλες χώρες:</w:t>
            </w:r>
          </w:p>
        </w:tc>
        <w:tc>
          <w:tcPr>
            <w:tcW w:w="1063"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3.579</w:t>
            </w:r>
          </w:p>
        </w:tc>
        <w:tc>
          <w:tcPr>
            <w:tcW w:w="1063"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2.106</w:t>
            </w:r>
          </w:p>
        </w:tc>
        <w:tc>
          <w:tcPr>
            <w:tcW w:w="1063"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1.025</w:t>
            </w:r>
          </w:p>
        </w:tc>
        <w:tc>
          <w:tcPr>
            <w:tcW w:w="1064" w:type="dxa"/>
            <w:tcBorders>
              <w:top w:val="single" w:sz="4" w:space="0" w:color="auto"/>
              <w:left w:val="single" w:sz="4" w:space="0" w:color="auto"/>
              <w:bottom w:val="single" w:sz="4" w:space="0" w:color="auto"/>
              <w:right w:val="single" w:sz="4" w:space="0" w:color="auto"/>
            </w:tcBorders>
            <w:vAlign w:val="center"/>
          </w:tcPr>
          <w:p w:rsidR="00E44E53" w:rsidRPr="00674F66" w:rsidRDefault="00E44E53" w:rsidP="00674F66">
            <w:pPr>
              <w:spacing w:after="0"/>
              <w:jc w:val="center"/>
              <w:rPr>
                <w:rFonts w:ascii="Arial" w:hAnsi="Arial" w:cs="Arial"/>
              </w:rPr>
            </w:pPr>
            <w:r w:rsidRPr="00674F66">
              <w:rPr>
                <w:rFonts w:ascii="Arial" w:hAnsi="Arial" w:cs="Arial"/>
              </w:rPr>
              <w:t>2.117</w:t>
            </w:r>
          </w:p>
        </w:tc>
      </w:tr>
      <w:tr w:rsidR="00E44E53" w:rsidRPr="00674F66" w:rsidTr="00674F66">
        <w:trPr>
          <w:trHeight w:val="680"/>
        </w:trPr>
        <w:tc>
          <w:tcPr>
            <w:tcW w:w="41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4E53" w:rsidRPr="00674F66" w:rsidRDefault="00674F66" w:rsidP="00674F66">
            <w:pPr>
              <w:spacing w:after="0"/>
              <w:jc w:val="center"/>
              <w:rPr>
                <w:rFonts w:ascii="Arial" w:hAnsi="Arial" w:cs="Arial"/>
              </w:rPr>
            </w:pPr>
            <w:r>
              <w:rPr>
                <w:rFonts w:ascii="Arial" w:hAnsi="Arial" w:cs="Arial"/>
              </w:rPr>
              <w:t xml:space="preserve">Μεταναστευτική Κίνηση Κυπρίων </w:t>
            </w:r>
            <w:r w:rsidRPr="00674F66">
              <w:rPr>
                <w:rFonts w:ascii="Arial" w:hAnsi="Arial" w:cs="Arial"/>
                <w:b/>
                <w:u w:val="single"/>
              </w:rPr>
              <w:t>προς</w:t>
            </w:r>
            <w:r>
              <w:rPr>
                <w:rFonts w:ascii="Arial" w:hAnsi="Arial" w:cs="Arial"/>
              </w:rPr>
              <w:t xml:space="preserve"> την Κύπρο</w:t>
            </w:r>
            <w:r w:rsidR="00E44E53" w:rsidRPr="00674F66">
              <w:rPr>
                <w:rStyle w:val="FootnoteReference"/>
                <w:rFonts w:ascii="Arial" w:hAnsi="Arial" w:cs="Arial"/>
              </w:rPr>
              <w:footnoteReference w:id="2"/>
            </w:r>
            <w:r w:rsidR="00E44E53" w:rsidRPr="00674F66">
              <w:rPr>
                <w:rFonts w:ascii="Arial" w:hAnsi="Arial" w:cs="Arial"/>
              </w:rPr>
              <w:t>:</w:t>
            </w:r>
          </w:p>
        </w:tc>
        <w:tc>
          <w:tcPr>
            <w:tcW w:w="10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4E53" w:rsidRPr="00674F66" w:rsidRDefault="00E44E53" w:rsidP="00674F66">
            <w:pPr>
              <w:spacing w:after="0"/>
              <w:jc w:val="center"/>
              <w:rPr>
                <w:rFonts w:ascii="Arial" w:hAnsi="Arial" w:cs="Arial"/>
                <w:b/>
              </w:rPr>
            </w:pPr>
            <w:r w:rsidRPr="00674F66">
              <w:rPr>
                <w:rFonts w:ascii="Arial" w:hAnsi="Arial" w:cs="Arial"/>
                <w:b/>
              </w:rPr>
              <w:t>-2.045</w:t>
            </w:r>
          </w:p>
        </w:tc>
        <w:tc>
          <w:tcPr>
            <w:tcW w:w="10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4E53" w:rsidRPr="00674F66" w:rsidRDefault="00E44E53" w:rsidP="00674F66">
            <w:pPr>
              <w:spacing w:after="0"/>
              <w:jc w:val="center"/>
              <w:rPr>
                <w:rFonts w:ascii="Arial" w:hAnsi="Arial" w:cs="Arial"/>
                <w:b/>
              </w:rPr>
            </w:pPr>
            <w:r w:rsidRPr="00674F66">
              <w:rPr>
                <w:rFonts w:ascii="Arial" w:hAnsi="Arial" w:cs="Arial"/>
                <w:b/>
              </w:rPr>
              <w:t>-705</w:t>
            </w:r>
          </w:p>
        </w:tc>
        <w:tc>
          <w:tcPr>
            <w:tcW w:w="10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4E53" w:rsidRPr="00674F66" w:rsidRDefault="00E44E53" w:rsidP="00674F66">
            <w:pPr>
              <w:spacing w:after="0"/>
              <w:jc w:val="center"/>
              <w:rPr>
                <w:rFonts w:ascii="Arial" w:hAnsi="Arial" w:cs="Arial"/>
                <w:b/>
              </w:rPr>
            </w:pPr>
            <w:r w:rsidRPr="00674F66">
              <w:rPr>
                <w:rFonts w:ascii="Arial" w:hAnsi="Arial" w:cs="Arial"/>
                <w:b/>
              </w:rPr>
              <w:t>+2.132</w:t>
            </w: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4E53" w:rsidRPr="00674F66" w:rsidRDefault="00E44E53" w:rsidP="00674F66">
            <w:pPr>
              <w:spacing w:after="0"/>
              <w:jc w:val="center"/>
              <w:rPr>
                <w:rFonts w:ascii="Arial" w:hAnsi="Arial" w:cs="Arial"/>
                <w:b/>
              </w:rPr>
            </w:pPr>
            <w:r w:rsidRPr="00674F66">
              <w:rPr>
                <w:rFonts w:ascii="Arial" w:hAnsi="Arial" w:cs="Arial"/>
                <w:b/>
              </w:rPr>
              <w:t>+1.440</w:t>
            </w:r>
          </w:p>
        </w:tc>
      </w:tr>
    </w:tbl>
    <w:p w:rsidR="00E44E53" w:rsidRDefault="00E44E53" w:rsidP="00E44E53">
      <w:pPr>
        <w:shd w:val="clear" w:color="auto" w:fill="FFFFFF"/>
        <w:jc w:val="both"/>
        <w:rPr>
          <w:rFonts w:ascii="Arial" w:hAnsi="Arial" w:cs="Arial"/>
          <w:spacing w:val="4"/>
        </w:rPr>
      </w:pPr>
    </w:p>
    <w:p w:rsidR="00E44E53" w:rsidRDefault="00E44E53" w:rsidP="00E44E53">
      <w:pPr>
        <w:shd w:val="clear" w:color="auto" w:fill="FFFFFF"/>
        <w:jc w:val="both"/>
        <w:rPr>
          <w:rFonts w:ascii="Arial" w:hAnsi="Arial" w:cs="Arial"/>
          <w:spacing w:val="4"/>
        </w:rPr>
      </w:pPr>
      <w:r>
        <w:rPr>
          <w:rFonts w:ascii="Arial" w:hAnsi="Arial" w:cs="Arial"/>
          <w:spacing w:val="4"/>
        </w:rPr>
        <w:t>Από μια απλή σύγκριση των πιο πάνω επίσημων στοιχείων, προκύπτει ότι οι Κύπριοι πολίτες που ήταν ξενιτεμένοι και επιστρέφουν για μόνιμη εγκατάσταση στην Κύπρο είναι περισσότεροι από όσους μεταναστεύουν εκτός Κύπρου.</w:t>
      </w:r>
    </w:p>
    <w:p w:rsidR="00E44E53" w:rsidRPr="001102D6" w:rsidRDefault="00E44E53" w:rsidP="00E44E53">
      <w:pPr>
        <w:shd w:val="clear" w:color="auto" w:fill="FFFFFF"/>
        <w:jc w:val="both"/>
        <w:rPr>
          <w:rFonts w:ascii="Arial" w:hAnsi="Arial" w:cs="Arial"/>
          <w:spacing w:val="4"/>
        </w:rPr>
      </w:pPr>
      <w:r>
        <w:rPr>
          <w:rFonts w:ascii="Arial" w:hAnsi="Arial" w:cs="Arial"/>
          <w:spacing w:val="4"/>
        </w:rPr>
        <w:t xml:space="preserve">Βάσει των ανωτέρω στοιχείων δεν υπάρχει καμία αμφιβολία ότι η σημαντική μείωση που παρατηρείται στους εγγεγραμμένου άνεργους, από </w:t>
      </w:r>
      <w:r w:rsidRPr="00A93728">
        <w:rPr>
          <w:rFonts w:ascii="Arial" w:hAnsi="Arial" w:cs="Arial"/>
          <w:spacing w:val="4"/>
        </w:rPr>
        <w:t>52</w:t>
      </w:r>
      <w:r>
        <w:rPr>
          <w:rFonts w:ascii="Arial" w:hAnsi="Arial" w:cs="Arial"/>
          <w:spacing w:val="4"/>
        </w:rPr>
        <w:t>.</w:t>
      </w:r>
      <w:r w:rsidRPr="00A93728">
        <w:rPr>
          <w:rFonts w:ascii="Arial" w:hAnsi="Arial" w:cs="Arial"/>
          <w:spacing w:val="4"/>
        </w:rPr>
        <w:t>772</w:t>
      </w:r>
      <w:r>
        <w:rPr>
          <w:rFonts w:ascii="Arial" w:hAnsi="Arial" w:cs="Arial"/>
          <w:spacing w:val="4"/>
        </w:rPr>
        <w:t xml:space="preserve"> τον Ιανουάριο 2014 σε 27.951 τον Σεπτέμβριο 2017, είναι το αποτέλεσμα της ανάπτυξης της οικονομίας, των ενεργητικών πολιτικών απασχόλησης που εφαρμόζονται για την στήριξη της απασχόλησης και γενικότερα των ευνοϊκών συνθηκών που δημιουργήθηκαν και που επιτρέπουν την επιστροφή των Κυπρίων στον τόπο τους.</w:t>
      </w:r>
    </w:p>
    <w:p w:rsidR="007702A2" w:rsidRPr="005D6E7E" w:rsidRDefault="00E44E53" w:rsidP="006916EE">
      <w:pPr>
        <w:spacing w:after="0" w:line="240" w:lineRule="auto"/>
        <w:jc w:val="both"/>
        <w:rPr>
          <w:rFonts w:ascii="Arial" w:hAnsi="Arial" w:cs="Arial"/>
          <w:b/>
          <w:sz w:val="24"/>
        </w:rPr>
      </w:pPr>
      <w:r>
        <w:rPr>
          <w:rFonts w:ascii="Arial" w:hAnsi="Arial" w:cs="Arial"/>
          <w:b/>
          <w:sz w:val="24"/>
          <w:lang w:val="en-US"/>
        </w:rPr>
        <w:t>11</w:t>
      </w:r>
      <w:r w:rsidR="0032262E" w:rsidRPr="005D6E7E">
        <w:rPr>
          <w:rFonts w:ascii="Arial" w:hAnsi="Arial" w:cs="Arial"/>
          <w:b/>
          <w:sz w:val="24"/>
        </w:rPr>
        <w:t xml:space="preserve"> Δεκεμβρίου </w:t>
      </w:r>
      <w:r w:rsidR="007702A2" w:rsidRPr="005D6E7E">
        <w:rPr>
          <w:rFonts w:ascii="Arial" w:hAnsi="Arial" w:cs="Arial"/>
          <w:b/>
          <w:sz w:val="24"/>
        </w:rPr>
        <w:t>2017</w:t>
      </w:r>
    </w:p>
    <w:sectPr w:rsidR="007702A2" w:rsidRPr="005D6E7E" w:rsidSect="00E44E53">
      <w:headerReference w:type="even" r:id="rId9"/>
      <w:headerReference w:type="first" r:id="rId10"/>
      <w:pgSz w:w="11906" w:h="16838"/>
      <w:pgMar w:top="709" w:right="212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F9" w:rsidRDefault="00BD73F9" w:rsidP="00B914CA">
      <w:pPr>
        <w:spacing w:after="0" w:line="240" w:lineRule="auto"/>
      </w:pPr>
      <w:r>
        <w:separator/>
      </w:r>
    </w:p>
  </w:endnote>
  <w:endnote w:type="continuationSeparator" w:id="0">
    <w:p w:rsidR="00BD73F9" w:rsidRDefault="00BD73F9" w:rsidP="00B9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F9" w:rsidRDefault="00BD73F9" w:rsidP="00B914CA">
      <w:pPr>
        <w:spacing w:after="0" w:line="240" w:lineRule="auto"/>
      </w:pPr>
      <w:r>
        <w:separator/>
      </w:r>
    </w:p>
  </w:footnote>
  <w:footnote w:type="continuationSeparator" w:id="0">
    <w:p w:rsidR="00BD73F9" w:rsidRDefault="00BD73F9" w:rsidP="00B914CA">
      <w:pPr>
        <w:spacing w:after="0" w:line="240" w:lineRule="auto"/>
      </w:pPr>
      <w:r>
        <w:continuationSeparator/>
      </w:r>
    </w:p>
  </w:footnote>
  <w:footnote w:id="1">
    <w:p w:rsidR="00E44E53" w:rsidRPr="00A443EC" w:rsidRDefault="00E44E53" w:rsidP="00E44E53">
      <w:pPr>
        <w:pStyle w:val="FootnoteText"/>
        <w:rPr>
          <w:lang w:val="el-GR"/>
        </w:rPr>
      </w:pPr>
      <w:r>
        <w:rPr>
          <w:rStyle w:val="FootnoteReference"/>
        </w:rPr>
        <w:footnoteRef/>
      </w:r>
      <w:r w:rsidRPr="00A443EC">
        <w:rPr>
          <w:lang w:val="el-GR"/>
        </w:rPr>
        <w:t xml:space="preserve"> </w:t>
      </w:r>
      <w:r>
        <w:rPr>
          <w:lang w:val="el-GR"/>
        </w:rPr>
        <w:t>Έκδοση «Δημογραφική Έκθεση» της Στατιστικής Υπηρεσίας, για τα έτη 2013-2016</w:t>
      </w:r>
    </w:p>
  </w:footnote>
  <w:footnote w:id="2">
    <w:p w:rsidR="00E44E53" w:rsidRPr="001102D6" w:rsidRDefault="00E44E53" w:rsidP="00E44E53">
      <w:pPr>
        <w:pStyle w:val="FootnoteText"/>
        <w:rPr>
          <w:lang w:val="el-GR"/>
        </w:rPr>
      </w:pPr>
      <w:r>
        <w:rPr>
          <w:rStyle w:val="FootnoteReference"/>
        </w:rPr>
        <w:footnoteRef/>
      </w:r>
      <w:r w:rsidRPr="001102D6">
        <w:rPr>
          <w:lang w:val="el-GR"/>
        </w:rPr>
        <w:t xml:space="preserve"> </w:t>
      </w:r>
      <w:r>
        <w:rPr>
          <w:lang w:val="el-GR"/>
        </w:rPr>
        <w:t>Το θετικό πρόσημο υποδηλώνει ότι υπήρχε επιστροφή και μετεγκατάσταση Κυπρίων στην Κύπρο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CA" w:rsidRDefault="00BD7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517" o:spid="_x0000_s2050" type="#_x0000_t136" style="position:absolute;margin-left:0;margin-top:0;width:479.5pt;height:159.8pt;rotation:315;z-index:-251655168;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CA" w:rsidRDefault="00BD7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516" o:spid="_x0000_s2049" type="#_x0000_t136" style="position:absolute;margin-left:0;margin-top:0;width:479.5pt;height:159.8pt;rotation:315;z-index:-251657216;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759"/>
    <w:multiLevelType w:val="hybridMultilevel"/>
    <w:tmpl w:val="6050495C"/>
    <w:lvl w:ilvl="0" w:tplc="A7C00420">
      <w:start w:val="1"/>
      <mc:AlternateContent>
        <mc:Choice Requires="w14">
          <w:numFmt w:val="custom" w:format="α, β, γ, ..."/>
        </mc:Choice>
        <mc:Fallback>
          <w:numFmt w:val="decimal"/>
        </mc:Fallback>
      </mc:AlternateContent>
      <w:lvlText w:val="%1."/>
      <w:lvlJc w:val="left"/>
      <w:pPr>
        <w:ind w:left="360" w:hanging="360"/>
      </w:pPr>
      <w:rPr>
        <w:rFonts w:ascii="Arial" w:hAnsi="Arial" w:cs="Arial" w:hint="default"/>
        <w:b w:val="0"/>
        <w:i w:val="0"/>
        <w:sz w:val="16"/>
        <w:szCs w:val="16"/>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C7D78EE"/>
    <w:multiLevelType w:val="hybridMultilevel"/>
    <w:tmpl w:val="B1BE7D48"/>
    <w:lvl w:ilvl="0" w:tplc="C5F2612E">
      <w:start w:val="1"/>
      <w:numFmt w:val="bullet"/>
      <w:lvlText w:val=" "/>
      <w:lvlJc w:val="left"/>
      <w:pPr>
        <w:tabs>
          <w:tab w:val="num" w:pos="360"/>
        </w:tabs>
        <w:ind w:left="360" w:hanging="360"/>
      </w:pPr>
      <w:rPr>
        <w:rFonts w:ascii="Calibri" w:hAnsi="Calibri" w:hint="default"/>
      </w:rPr>
    </w:lvl>
    <w:lvl w:ilvl="1" w:tplc="985683E6" w:tentative="1">
      <w:start w:val="1"/>
      <w:numFmt w:val="bullet"/>
      <w:lvlText w:val=" "/>
      <w:lvlJc w:val="left"/>
      <w:pPr>
        <w:tabs>
          <w:tab w:val="num" w:pos="1080"/>
        </w:tabs>
        <w:ind w:left="1080" w:hanging="360"/>
      </w:pPr>
      <w:rPr>
        <w:rFonts w:ascii="Calibri" w:hAnsi="Calibri" w:hint="default"/>
      </w:rPr>
    </w:lvl>
    <w:lvl w:ilvl="2" w:tplc="73168E56" w:tentative="1">
      <w:start w:val="1"/>
      <w:numFmt w:val="bullet"/>
      <w:lvlText w:val=" "/>
      <w:lvlJc w:val="left"/>
      <w:pPr>
        <w:tabs>
          <w:tab w:val="num" w:pos="1800"/>
        </w:tabs>
        <w:ind w:left="1800" w:hanging="360"/>
      </w:pPr>
      <w:rPr>
        <w:rFonts w:ascii="Calibri" w:hAnsi="Calibri" w:hint="default"/>
      </w:rPr>
    </w:lvl>
    <w:lvl w:ilvl="3" w:tplc="1624D6D8" w:tentative="1">
      <w:start w:val="1"/>
      <w:numFmt w:val="bullet"/>
      <w:lvlText w:val=" "/>
      <w:lvlJc w:val="left"/>
      <w:pPr>
        <w:tabs>
          <w:tab w:val="num" w:pos="2520"/>
        </w:tabs>
        <w:ind w:left="2520" w:hanging="360"/>
      </w:pPr>
      <w:rPr>
        <w:rFonts w:ascii="Calibri" w:hAnsi="Calibri" w:hint="default"/>
      </w:rPr>
    </w:lvl>
    <w:lvl w:ilvl="4" w:tplc="AEF449BC" w:tentative="1">
      <w:start w:val="1"/>
      <w:numFmt w:val="bullet"/>
      <w:lvlText w:val=" "/>
      <w:lvlJc w:val="left"/>
      <w:pPr>
        <w:tabs>
          <w:tab w:val="num" w:pos="3240"/>
        </w:tabs>
        <w:ind w:left="3240" w:hanging="360"/>
      </w:pPr>
      <w:rPr>
        <w:rFonts w:ascii="Calibri" w:hAnsi="Calibri" w:hint="default"/>
      </w:rPr>
    </w:lvl>
    <w:lvl w:ilvl="5" w:tplc="031CBD12" w:tentative="1">
      <w:start w:val="1"/>
      <w:numFmt w:val="bullet"/>
      <w:lvlText w:val=" "/>
      <w:lvlJc w:val="left"/>
      <w:pPr>
        <w:tabs>
          <w:tab w:val="num" w:pos="3960"/>
        </w:tabs>
        <w:ind w:left="3960" w:hanging="360"/>
      </w:pPr>
      <w:rPr>
        <w:rFonts w:ascii="Calibri" w:hAnsi="Calibri" w:hint="default"/>
      </w:rPr>
    </w:lvl>
    <w:lvl w:ilvl="6" w:tplc="F0F0B160" w:tentative="1">
      <w:start w:val="1"/>
      <w:numFmt w:val="bullet"/>
      <w:lvlText w:val=" "/>
      <w:lvlJc w:val="left"/>
      <w:pPr>
        <w:tabs>
          <w:tab w:val="num" w:pos="4680"/>
        </w:tabs>
        <w:ind w:left="4680" w:hanging="360"/>
      </w:pPr>
      <w:rPr>
        <w:rFonts w:ascii="Calibri" w:hAnsi="Calibri" w:hint="default"/>
      </w:rPr>
    </w:lvl>
    <w:lvl w:ilvl="7" w:tplc="2EDE7A6E" w:tentative="1">
      <w:start w:val="1"/>
      <w:numFmt w:val="bullet"/>
      <w:lvlText w:val=" "/>
      <w:lvlJc w:val="left"/>
      <w:pPr>
        <w:tabs>
          <w:tab w:val="num" w:pos="5400"/>
        </w:tabs>
        <w:ind w:left="5400" w:hanging="360"/>
      </w:pPr>
      <w:rPr>
        <w:rFonts w:ascii="Calibri" w:hAnsi="Calibri" w:hint="default"/>
      </w:rPr>
    </w:lvl>
    <w:lvl w:ilvl="8" w:tplc="70EC8AF6" w:tentative="1">
      <w:start w:val="1"/>
      <w:numFmt w:val="bullet"/>
      <w:lvlText w:val=" "/>
      <w:lvlJc w:val="left"/>
      <w:pPr>
        <w:tabs>
          <w:tab w:val="num" w:pos="6120"/>
        </w:tabs>
        <w:ind w:left="6120" w:hanging="360"/>
      </w:pPr>
      <w:rPr>
        <w:rFonts w:ascii="Calibri" w:hAnsi="Calibri" w:hint="default"/>
      </w:rPr>
    </w:lvl>
  </w:abstractNum>
  <w:abstractNum w:abstractNumId="2">
    <w:nsid w:val="37EC250D"/>
    <w:multiLevelType w:val="hybridMultilevel"/>
    <w:tmpl w:val="BBDA0BC4"/>
    <w:lvl w:ilvl="0" w:tplc="DAFC94DC">
      <w:start w:val="1"/>
      <mc:AlternateContent>
        <mc:Choice Requires="w14">
          <w:numFmt w:val="custom" w:format="α, β, γ, ..."/>
        </mc:Choice>
        <mc:Fallback>
          <w:numFmt w:val="decimal"/>
        </mc:Fallback>
      </mc:AlternateContent>
      <w:lvlText w:val="%1."/>
      <w:lvlJc w:val="left"/>
      <w:pPr>
        <w:ind w:left="360" w:hanging="360"/>
      </w:pPr>
      <w:rPr>
        <w:rFonts w:ascii="Arial" w:hAnsi="Arial" w:cs="Arial" w:hint="default"/>
        <w:b w:val="0"/>
        <w:i w:val="0"/>
        <w:sz w:val="23"/>
        <w:szCs w:val="23"/>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9E43017"/>
    <w:multiLevelType w:val="hybridMultilevel"/>
    <w:tmpl w:val="438491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EC"/>
    <w:rsid w:val="00032C3E"/>
    <w:rsid w:val="000F5C1F"/>
    <w:rsid w:val="00105B27"/>
    <w:rsid w:val="00112B40"/>
    <w:rsid w:val="001459FB"/>
    <w:rsid w:val="00165A55"/>
    <w:rsid w:val="001A2145"/>
    <w:rsid w:val="001C0B36"/>
    <w:rsid w:val="00204E54"/>
    <w:rsid w:val="002158D6"/>
    <w:rsid w:val="002625C4"/>
    <w:rsid w:val="002E0ABC"/>
    <w:rsid w:val="0032262E"/>
    <w:rsid w:val="00335146"/>
    <w:rsid w:val="0036069E"/>
    <w:rsid w:val="00374309"/>
    <w:rsid w:val="0037710C"/>
    <w:rsid w:val="00397B67"/>
    <w:rsid w:val="003D74B1"/>
    <w:rsid w:val="00473BC2"/>
    <w:rsid w:val="004743BE"/>
    <w:rsid w:val="00483F38"/>
    <w:rsid w:val="004B1EDA"/>
    <w:rsid w:val="004F550B"/>
    <w:rsid w:val="00506419"/>
    <w:rsid w:val="00511A28"/>
    <w:rsid w:val="00524B31"/>
    <w:rsid w:val="00532EDE"/>
    <w:rsid w:val="00583C60"/>
    <w:rsid w:val="00595150"/>
    <w:rsid w:val="005B1C03"/>
    <w:rsid w:val="005D6E7E"/>
    <w:rsid w:val="006430C6"/>
    <w:rsid w:val="00674F66"/>
    <w:rsid w:val="00682892"/>
    <w:rsid w:val="006916EE"/>
    <w:rsid w:val="006C01C5"/>
    <w:rsid w:val="006C1118"/>
    <w:rsid w:val="006F47E8"/>
    <w:rsid w:val="0074121C"/>
    <w:rsid w:val="0074277A"/>
    <w:rsid w:val="00756218"/>
    <w:rsid w:val="00757283"/>
    <w:rsid w:val="007702A2"/>
    <w:rsid w:val="007A0873"/>
    <w:rsid w:val="007E0A35"/>
    <w:rsid w:val="00804CA8"/>
    <w:rsid w:val="00841AD0"/>
    <w:rsid w:val="008542BC"/>
    <w:rsid w:val="0085474F"/>
    <w:rsid w:val="00870439"/>
    <w:rsid w:val="008915D8"/>
    <w:rsid w:val="0089484F"/>
    <w:rsid w:val="008C209C"/>
    <w:rsid w:val="00923E05"/>
    <w:rsid w:val="00944F9B"/>
    <w:rsid w:val="00960098"/>
    <w:rsid w:val="009729A4"/>
    <w:rsid w:val="009B0818"/>
    <w:rsid w:val="009C0D3B"/>
    <w:rsid w:val="009C4FC2"/>
    <w:rsid w:val="009F4BD1"/>
    <w:rsid w:val="00A07647"/>
    <w:rsid w:val="00A51EB1"/>
    <w:rsid w:val="00A8493D"/>
    <w:rsid w:val="00AA0FE4"/>
    <w:rsid w:val="00AA5FD8"/>
    <w:rsid w:val="00AC55EC"/>
    <w:rsid w:val="00AF15B0"/>
    <w:rsid w:val="00B169AB"/>
    <w:rsid w:val="00B20A52"/>
    <w:rsid w:val="00B237A5"/>
    <w:rsid w:val="00B27C67"/>
    <w:rsid w:val="00B31A66"/>
    <w:rsid w:val="00B839EC"/>
    <w:rsid w:val="00B914CA"/>
    <w:rsid w:val="00BD73F9"/>
    <w:rsid w:val="00C26077"/>
    <w:rsid w:val="00C542D8"/>
    <w:rsid w:val="00C86B75"/>
    <w:rsid w:val="00CB1FF6"/>
    <w:rsid w:val="00CC6AF6"/>
    <w:rsid w:val="00CD1A56"/>
    <w:rsid w:val="00D07D99"/>
    <w:rsid w:val="00D503CD"/>
    <w:rsid w:val="00D72FD0"/>
    <w:rsid w:val="00DA6773"/>
    <w:rsid w:val="00DC0132"/>
    <w:rsid w:val="00DC5408"/>
    <w:rsid w:val="00E1477C"/>
    <w:rsid w:val="00E219FA"/>
    <w:rsid w:val="00E44E53"/>
    <w:rsid w:val="00E455D9"/>
    <w:rsid w:val="00EA464E"/>
    <w:rsid w:val="00ED2154"/>
    <w:rsid w:val="00F065D5"/>
    <w:rsid w:val="00F4039E"/>
    <w:rsid w:val="00F4072C"/>
    <w:rsid w:val="00F7591A"/>
    <w:rsid w:val="00F95D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C2"/>
    <w:rPr>
      <w:color w:val="0000FF" w:themeColor="hyperlink"/>
      <w:u w:val="single"/>
    </w:rPr>
  </w:style>
  <w:style w:type="paragraph" w:styleId="Header">
    <w:name w:val="header"/>
    <w:basedOn w:val="Normal"/>
    <w:link w:val="HeaderChar"/>
    <w:uiPriority w:val="99"/>
    <w:unhideWhenUsed/>
    <w:rsid w:val="00B91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4CA"/>
  </w:style>
  <w:style w:type="paragraph" w:styleId="Footer">
    <w:name w:val="footer"/>
    <w:basedOn w:val="Normal"/>
    <w:link w:val="FooterChar"/>
    <w:uiPriority w:val="99"/>
    <w:unhideWhenUsed/>
    <w:rsid w:val="00B91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4CA"/>
  </w:style>
  <w:style w:type="paragraph" w:styleId="BalloonText">
    <w:name w:val="Balloon Text"/>
    <w:basedOn w:val="Normal"/>
    <w:link w:val="BalloonTextChar"/>
    <w:uiPriority w:val="99"/>
    <w:semiHidden/>
    <w:unhideWhenUsed/>
    <w:rsid w:val="004F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0B"/>
    <w:rPr>
      <w:rFonts w:ascii="Tahoma" w:hAnsi="Tahoma" w:cs="Tahoma"/>
      <w:sz w:val="16"/>
      <w:szCs w:val="16"/>
    </w:rPr>
  </w:style>
  <w:style w:type="paragraph" w:styleId="ListParagraph">
    <w:name w:val="List Paragraph"/>
    <w:basedOn w:val="Normal"/>
    <w:uiPriority w:val="34"/>
    <w:qFormat/>
    <w:rsid w:val="00032C3E"/>
    <w:pPr>
      <w:ind w:left="720"/>
      <w:contextualSpacing/>
    </w:pPr>
    <w:rPr>
      <w:lang w:val="en-GB"/>
    </w:rPr>
  </w:style>
  <w:style w:type="paragraph" w:styleId="FootnoteText">
    <w:name w:val="footnote text"/>
    <w:basedOn w:val="Normal"/>
    <w:link w:val="FootnoteTextChar"/>
    <w:uiPriority w:val="99"/>
    <w:semiHidden/>
    <w:unhideWhenUsed/>
    <w:rsid w:val="0089484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9484F"/>
    <w:rPr>
      <w:sz w:val="20"/>
      <w:szCs w:val="20"/>
      <w:lang w:val="en-GB"/>
    </w:rPr>
  </w:style>
  <w:style w:type="character" w:styleId="FootnoteReference">
    <w:name w:val="footnote reference"/>
    <w:basedOn w:val="DefaultParagraphFont"/>
    <w:uiPriority w:val="99"/>
    <w:semiHidden/>
    <w:unhideWhenUsed/>
    <w:rsid w:val="00894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C2"/>
    <w:rPr>
      <w:color w:val="0000FF" w:themeColor="hyperlink"/>
      <w:u w:val="single"/>
    </w:rPr>
  </w:style>
  <w:style w:type="paragraph" w:styleId="Header">
    <w:name w:val="header"/>
    <w:basedOn w:val="Normal"/>
    <w:link w:val="HeaderChar"/>
    <w:uiPriority w:val="99"/>
    <w:unhideWhenUsed/>
    <w:rsid w:val="00B91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4CA"/>
  </w:style>
  <w:style w:type="paragraph" w:styleId="Footer">
    <w:name w:val="footer"/>
    <w:basedOn w:val="Normal"/>
    <w:link w:val="FooterChar"/>
    <w:uiPriority w:val="99"/>
    <w:unhideWhenUsed/>
    <w:rsid w:val="00B91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4CA"/>
  </w:style>
  <w:style w:type="paragraph" w:styleId="BalloonText">
    <w:name w:val="Balloon Text"/>
    <w:basedOn w:val="Normal"/>
    <w:link w:val="BalloonTextChar"/>
    <w:uiPriority w:val="99"/>
    <w:semiHidden/>
    <w:unhideWhenUsed/>
    <w:rsid w:val="004F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0B"/>
    <w:rPr>
      <w:rFonts w:ascii="Tahoma" w:hAnsi="Tahoma" w:cs="Tahoma"/>
      <w:sz w:val="16"/>
      <w:szCs w:val="16"/>
    </w:rPr>
  </w:style>
  <w:style w:type="paragraph" w:styleId="ListParagraph">
    <w:name w:val="List Paragraph"/>
    <w:basedOn w:val="Normal"/>
    <w:uiPriority w:val="34"/>
    <w:qFormat/>
    <w:rsid w:val="00032C3E"/>
    <w:pPr>
      <w:ind w:left="720"/>
      <w:contextualSpacing/>
    </w:pPr>
    <w:rPr>
      <w:lang w:val="en-GB"/>
    </w:rPr>
  </w:style>
  <w:style w:type="paragraph" w:styleId="FootnoteText">
    <w:name w:val="footnote text"/>
    <w:basedOn w:val="Normal"/>
    <w:link w:val="FootnoteTextChar"/>
    <w:uiPriority w:val="99"/>
    <w:semiHidden/>
    <w:unhideWhenUsed/>
    <w:rsid w:val="0089484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9484F"/>
    <w:rPr>
      <w:sz w:val="20"/>
      <w:szCs w:val="20"/>
      <w:lang w:val="en-GB"/>
    </w:rPr>
  </w:style>
  <w:style w:type="character" w:styleId="FootnoteReference">
    <w:name w:val="footnote reference"/>
    <w:basedOn w:val="DefaultParagraphFont"/>
    <w:uiPriority w:val="99"/>
    <w:semiHidden/>
    <w:unhideWhenUsed/>
    <w:rsid w:val="00894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18BF-B5AA-41C6-BB55-6C61B230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keywords>Προίκα του Μωρού</cp:keywords>
  <cp:lastModifiedBy>Phanos Kouroufexis</cp:lastModifiedBy>
  <cp:revision>2</cp:revision>
  <cp:lastPrinted>2017-12-11T08:45:00Z</cp:lastPrinted>
  <dcterms:created xsi:type="dcterms:W3CDTF">2017-12-11T09:24:00Z</dcterms:created>
  <dcterms:modified xsi:type="dcterms:W3CDTF">2017-12-11T09:24:00Z</dcterms:modified>
</cp:coreProperties>
</file>